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8515" w14:textId="3E873F78" w:rsidR="00D6443D" w:rsidRPr="001402AB" w:rsidRDefault="00CC3EE7" w:rsidP="008E5D8B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Maverick Region PCA </w:t>
      </w:r>
      <w:bookmarkStart w:id="0" w:name="_GoBack"/>
      <w:bookmarkEnd w:id="0"/>
      <w:r w:rsidR="00156A78" w:rsidRPr="001402AB">
        <w:rPr>
          <w:rFonts w:ascii="Arial" w:hAnsi="Arial" w:cs="Arial"/>
          <w:b/>
          <w:noProof/>
          <w:color w:val="000000" w:themeColor="text1"/>
          <w:sz w:val="24"/>
          <w:szCs w:val="24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  <w:r w:rsidR="00156A78" w:rsidRPr="001402AB">
        <w:rPr>
          <w:rFonts w:ascii="Arial" w:hAnsi="Arial" w:cs="Arial"/>
          <w:b/>
          <w:noProof/>
          <w:color w:val="000000" w:themeColor="text1"/>
          <w:sz w:val="24"/>
          <w:szCs w:val="24"/>
        </w:rPr>
        <w:t>2022</w:t>
      </w:r>
      <w:r w:rsidR="005A20F8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  <w:r w:rsidR="00156A78" w:rsidRPr="001402AB">
        <w:rPr>
          <w:rFonts w:ascii="Arial" w:hAnsi="Arial" w:cs="Arial"/>
          <w:b/>
          <w:noProof/>
          <w:color w:val="000000" w:themeColor="text1"/>
          <w:sz w:val="24"/>
          <w:szCs w:val="24"/>
        </w:rPr>
        <w:t>FAQ</w:t>
      </w:r>
    </w:p>
    <w:p w14:paraId="3EDD34F8" w14:textId="77777777" w:rsidR="00156A78" w:rsidRDefault="00156A78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745ECBA" w14:textId="21988A81" w:rsidR="00156A78" w:rsidRPr="001402AB" w:rsidRDefault="00156A78" w:rsidP="008E5D8B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What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2022?</w:t>
      </w:r>
    </w:p>
    <w:p w14:paraId="60978538" w14:textId="540C826F" w:rsidR="00A95D81" w:rsidRDefault="00A95D81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2022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annual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event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presented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by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R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egion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PCA</w:t>
      </w:r>
      <w:r w:rsidR="004F6604">
        <w:rPr>
          <w:rFonts w:ascii="Arial" w:hAnsi="Arial" w:cs="Arial"/>
          <w:noProof/>
          <w:color w:val="000000" w:themeColor="text1"/>
          <w:sz w:val="20"/>
          <w:szCs w:val="20"/>
        </w:rPr>
        <w:t>, taking place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Sunday,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May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F6604">
        <w:rPr>
          <w:rFonts w:ascii="Arial" w:hAnsi="Arial" w:cs="Arial"/>
          <w:noProof/>
          <w:color w:val="000000" w:themeColor="text1"/>
          <w:sz w:val="20"/>
          <w:szCs w:val="20"/>
        </w:rPr>
        <w:t xml:space="preserve">22, 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  <w:vertAlign w:val="superscript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2022.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This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event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features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dinner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social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evening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before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event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B25467">
        <w:rPr>
          <w:rFonts w:ascii="Arial" w:hAnsi="Arial" w:cs="Arial"/>
          <w:noProof/>
          <w:color w:val="000000" w:themeColor="text1"/>
          <w:sz w:val="20"/>
          <w:szCs w:val="20"/>
        </w:rPr>
        <w:t xml:space="preserve">(May 21)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well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B25467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E66EB">
        <w:rPr>
          <w:rFonts w:ascii="Arial" w:hAnsi="Arial" w:cs="Arial"/>
          <w:noProof/>
          <w:color w:val="000000" w:themeColor="text1"/>
          <w:sz w:val="20"/>
          <w:szCs w:val="20"/>
        </w:rPr>
        <w:t xml:space="preserve">judged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6E66EB">
        <w:rPr>
          <w:rFonts w:ascii="Arial" w:hAnsi="Arial" w:cs="Arial"/>
          <w:noProof/>
          <w:color w:val="000000" w:themeColor="text1"/>
          <w:sz w:val="20"/>
          <w:szCs w:val="20"/>
        </w:rPr>
        <w:t xml:space="preserve"> d’ Elegance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B25467">
        <w:rPr>
          <w:rFonts w:ascii="Arial" w:hAnsi="Arial" w:cs="Arial"/>
          <w:noProof/>
          <w:color w:val="000000" w:themeColor="text1"/>
          <w:sz w:val="20"/>
          <w:szCs w:val="20"/>
        </w:rPr>
        <w:t>on May 22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F6604">
        <w:rPr>
          <w:rFonts w:ascii="Arial" w:hAnsi="Arial" w:cs="Arial"/>
          <w:noProof/>
          <w:color w:val="000000" w:themeColor="text1"/>
          <w:sz w:val="20"/>
          <w:szCs w:val="20"/>
        </w:rPr>
        <w:t>C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feature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classes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Porsche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vehicles,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along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with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vendor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di</w:t>
      </w:r>
      <w:r w:rsidR="006E66EB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plays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food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beverage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s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paid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D062F5">
        <w:rPr>
          <w:rFonts w:ascii="Arial" w:hAnsi="Arial" w:cs="Arial"/>
          <w:noProof/>
          <w:color w:val="000000" w:themeColor="text1"/>
          <w:sz w:val="20"/>
          <w:szCs w:val="20"/>
        </w:rPr>
        <w:t>attendees.</w:t>
      </w:r>
    </w:p>
    <w:p w14:paraId="2FDE9388" w14:textId="77777777" w:rsidR="00D062F5" w:rsidRDefault="00D062F5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08CE8840" w14:textId="3951AE0C" w:rsidR="00D062F5" w:rsidRPr="001402AB" w:rsidRDefault="00D062F5" w:rsidP="008E5D8B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What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fee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2022</w:t>
      </w:r>
      <w:r w:rsidR="00A5791F" w:rsidRPr="001402AB">
        <w:rPr>
          <w:rFonts w:ascii="Arial" w:hAnsi="Arial" w:cs="Arial"/>
          <w:b/>
          <w:noProof/>
          <w:color w:val="000000" w:themeColor="text1"/>
          <w:sz w:val="20"/>
          <w:szCs w:val="20"/>
        </w:rPr>
        <w:t>?</w:t>
      </w:r>
    </w:p>
    <w:p w14:paraId="53148398" w14:textId="754D5AB0" w:rsidR="00F237A7" w:rsidRDefault="00F237A7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Dinner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Social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, to be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held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Mena’s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Grill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Tex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Mex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Cantina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Saturday,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21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limited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first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50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registrants</w:t>
      </w:r>
      <w:r w:rsid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at a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cost</w:t>
      </w:r>
      <w:r w:rsid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$20</w:t>
      </w:r>
      <w:r w:rsidR="0000063D">
        <w:rPr>
          <w:rFonts w:ascii="Arial" w:hAnsi="Arial" w:cs="Arial"/>
          <w:noProof/>
          <w:color w:val="000000" w:themeColor="text1"/>
          <w:sz w:val="20"/>
          <w:szCs w:val="20"/>
        </w:rPr>
        <w:t>.00</w:t>
      </w:r>
      <w:r w:rsid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each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The social will take place from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6:30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p.m.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9:00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p.m.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includes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an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can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fajita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bar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two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house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margaritas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beers.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site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available.</w:t>
      </w:r>
    </w:p>
    <w:p w14:paraId="764DA96F" w14:textId="1940E40F" w:rsidR="00A5791F" w:rsidRDefault="00F237A7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MRPCA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Sunday,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22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has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two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options.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enter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car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in t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$50.00.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includes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registration,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event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T-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hirt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2022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poster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access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food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vendors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A5791F">
        <w:rPr>
          <w:rFonts w:ascii="Arial" w:hAnsi="Arial" w:cs="Arial"/>
          <w:noProof/>
          <w:color w:val="000000" w:themeColor="text1"/>
          <w:sz w:val="20"/>
          <w:szCs w:val="20"/>
        </w:rPr>
        <w:t>sponsors.</w:t>
      </w:r>
    </w:p>
    <w:p w14:paraId="1C69EB48" w14:textId="6979D0D0" w:rsidR="00A5791F" w:rsidRDefault="00A5791F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General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$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20.00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person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include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s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access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f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ood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drink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vendors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sponsors.</w:t>
      </w:r>
    </w:p>
    <w:p w14:paraId="2673E89F" w14:textId="085A7DDA" w:rsidR="00A5791F" w:rsidRDefault="00292978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Because all entrants, whether competitors or viewers, will be provided food and drink tickets as well as the souvenir items noted above, there will be no walk-up or free admission. </w:t>
      </w:r>
    </w:p>
    <w:p w14:paraId="47AFEFD5" w14:textId="77777777" w:rsidR="00156A78" w:rsidRDefault="00156A78" w:rsidP="008E5D8B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3909093" w14:textId="1DCDF10C" w:rsidR="00156A78" w:rsidRPr="00EF4AC8" w:rsidRDefault="00156A78" w:rsidP="00156A78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When</w:t>
      </w:r>
      <w:r w:rsidR="004C766F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and where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2022?</w:t>
      </w:r>
    </w:p>
    <w:p w14:paraId="5A229793" w14:textId="7A09CD93" w:rsidR="004C766F" w:rsidRPr="00E31332" w:rsidRDefault="00A95D81" w:rsidP="004C766F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Maverick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Region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PCA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2022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Sunday</w:t>
      </w:r>
      <w:r w:rsidR="00292978">
        <w:rPr>
          <w:rFonts w:ascii="Arial" w:hAnsi="Arial" w:cs="Arial"/>
          <w:noProof/>
          <w:color w:val="000000" w:themeColor="text1"/>
          <w:sz w:val="20"/>
          <w:szCs w:val="20"/>
        </w:rPr>
        <w:t>,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May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22 </w:t>
      </w:r>
      <w:r w:rsidR="00C87F21" w:rsidRPr="00E31332">
        <w:rPr>
          <w:rFonts w:ascii="Arial" w:hAnsi="Arial" w:cs="Arial"/>
          <w:noProof/>
          <w:color w:val="000000" w:themeColor="text1"/>
          <w:sz w:val="20"/>
          <w:szCs w:val="20"/>
        </w:rPr>
        <w:t>from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C87F21" w:rsidRPr="00E31332">
        <w:rPr>
          <w:rFonts w:ascii="Arial" w:hAnsi="Arial" w:cs="Arial"/>
          <w:noProof/>
          <w:color w:val="000000" w:themeColor="text1"/>
          <w:sz w:val="20"/>
          <w:szCs w:val="20"/>
        </w:rPr>
        <w:t>11:00</w:t>
      </w:r>
      <w:r w:rsidR="004C766F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am </w:t>
      </w:r>
      <w:r w:rsidR="0000063D">
        <w:rPr>
          <w:rFonts w:ascii="Arial" w:hAnsi="Arial" w:cs="Arial"/>
          <w:noProof/>
          <w:color w:val="000000" w:themeColor="text1"/>
          <w:sz w:val="20"/>
          <w:szCs w:val="20"/>
        </w:rPr>
        <w:t xml:space="preserve">to </w:t>
      </w:r>
      <w:r w:rsidR="00C87F21" w:rsidRPr="00E31332">
        <w:rPr>
          <w:rFonts w:ascii="Arial" w:hAnsi="Arial" w:cs="Arial"/>
          <w:noProof/>
          <w:color w:val="000000" w:themeColor="text1"/>
          <w:sz w:val="20"/>
          <w:szCs w:val="20"/>
        </w:rPr>
        <w:t>2:00</w:t>
      </w:r>
      <w:r w:rsidR="004C766F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pm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at Silver Lake Marina Park, </w:t>
      </w:r>
      <w:r w:rsidR="004C766F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2500 Fairway </w:t>
      </w:r>
      <w:proofErr w:type="spellStart"/>
      <w:r w:rsidR="004C766F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Dr</w:t>
      </w:r>
      <w:proofErr w:type="spellEnd"/>
      <w:r w:rsidR="004C766F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#1, Grapevine, TX 76051</w:t>
      </w:r>
    </w:p>
    <w:p w14:paraId="6B72D5F5" w14:textId="77777777" w:rsidR="00156A78" w:rsidRDefault="00156A78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F870BEB" w14:textId="397EB4A0" w:rsidR="00156A78" w:rsidRPr="00EF4AC8" w:rsidRDefault="00156A78" w:rsidP="00156A78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What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="004C766F">
        <w:rPr>
          <w:rFonts w:ascii="Arial" w:hAnsi="Arial" w:cs="Arial"/>
          <w:b/>
          <w:noProof/>
          <w:color w:val="000000" w:themeColor="text1"/>
          <w:sz w:val="20"/>
          <w:szCs w:val="20"/>
        </w:rPr>
        <w:t>a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re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="004C766F">
        <w:rPr>
          <w:rFonts w:ascii="Arial" w:hAnsi="Arial" w:cs="Arial"/>
          <w:b/>
          <w:noProof/>
          <w:color w:val="000000" w:themeColor="text1"/>
          <w:sz w:val="20"/>
          <w:szCs w:val="20"/>
        </w:rPr>
        <w:t>vehicle c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lasses?</w:t>
      </w:r>
    </w:p>
    <w:p w14:paraId="6AE11035" w14:textId="19A9CC6A" w:rsidR="00A95D81" w:rsidRDefault="00A95D81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classes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each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92978"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>
        <w:rPr>
          <w:rFonts w:ascii="Arial" w:hAnsi="Arial" w:cs="Arial"/>
          <w:noProof/>
          <w:color w:val="000000" w:themeColor="text1"/>
          <w:sz w:val="20"/>
          <w:szCs w:val="20"/>
        </w:rPr>
        <w:t>follows:</w:t>
      </w:r>
    </w:p>
    <w:p w14:paraId="5737B94A" w14:textId="0B74A4AD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3</w:t>
      </w:r>
      <w:r w:rsidR="00F237A7" w:rsidRPr="00C355BD">
        <w:rPr>
          <w:rFonts w:ascii="Arial" w:hAnsi="Arial" w:cs="Arial"/>
          <w:noProof/>
          <w:color w:val="000000" w:themeColor="text1"/>
          <w:sz w:val="20"/>
          <w:szCs w:val="20"/>
        </w:rPr>
        <w:t>56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0FCC256D" w14:textId="703D98F5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911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64-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73</w:t>
      </w:r>
    </w:p>
    <w:p w14:paraId="25C47C66" w14:textId="20ED03DE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911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74-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88</w:t>
      </w:r>
    </w:p>
    <w:p w14:paraId="7DE51890" w14:textId="560A719D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911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89-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98</w:t>
      </w:r>
    </w:p>
    <w:p w14:paraId="58EC3F67" w14:textId="20CFC654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911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99-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‘1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2</w:t>
      </w:r>
    </w:p>
    <w:p w14:paraId="7A492C41" w14:textId="57B6F945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911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‘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13-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p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resent</w:t>
      </w:r>
    </w:p>
    <w:p w14:paraId="6433B1A6" w14:textId="14DE475C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914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2E3306D8" w14:textId="2185ACBA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924,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944,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968,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928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769A68A1" w14:textId="36D02DC1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Boxster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 (except Boxster Spyder)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*</w:t>
      </w:r>
    </w:p>
    <w:p w14:paraId="1CACD25D" w14:textId="7F92A18D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>Cayman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 (except Cayman GT4)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*</w:t>
      </w:r>
    </w:p>
    <w:p w14:paraId="2D0F0697" w14:textId="28912779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Panamera,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Cay</w:t>
      </w:r>
      <w:r w:rsidR="0000063D">
        <w:rPr>
          <w:rFonts w:ascii="Arial" w:hAnsi="Arial" w:cs="Arial"/>
          <w:noProof/>
          <w:color w:val="000000" w:themeColor="text1"/>
          <w:sz w:val="20"/>
          <w:szCs w:val="20"/>
        </w:rPr>
        <w:t>e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nne,</w:t>
      </w:r>
      <w:r w:rsidR="005A20F8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M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can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347C894D" w14:textId="0D02CDB1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GT</w:t>
      </w:r>
      <w:r w:rsidR="004C766F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cars all years</w:t>
      </w:r>
      <w:r w:rsidR="00486FE4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(includes GT2, GT3, GT4, Carrera GT, etc.)</w:t>
      </w:r>
    </w:p>
    <w:p w14:paraId="28AC1C86" w14:textId="0881DA3E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Outlaw</w:t>
      </w:r>
      <w:r w:rsidR="00486FE4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6DCF1A71" w14:textId="789E305F" w:rsidR="00A95D81" w:rsidRPr="00C355BD" w:rsidRDefault="00A95D81" w:rsidP="00C355BD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355BD">
        <w:rPr>
          <w:rFonts w:ascii="Arial" w:hAnsi="Arial" w:cs="Arial"/>
          <w:noProof/>
          <w:color w:val="000000" w:themeColor="text1"/>
          <w:sz w:val="20"/>
          <w:szCs w:val="20"/>
        </w:rPr>
        <w:t>Competition</w:t>
      </w:r>
      <w:r w:rsidR="00486FE4" w:rsidRP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all years</w:t>
      </w:r>
    </w:p>
    <w:p w14:paraId="3D36521E" w14:textId="4236B43E" w:rsidR="00A95D81" w:rsidRDefault="00A95D81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*Boxster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Spyders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Cayman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GT4</w:t>
      </w:r>
      <w:r w:rsidR="004C766F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entered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class</w:t>
      </w:r>
    </w:p>
    <w:p w14:paraId="67F9267B" w14:textId="77777777" w:rsidR="00156A78" w:rsidRDefault="00156A78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5C4637DD" w14:textId="2BE350FB" w:rsidR="00156A78" w:rsidRPr="00EF4AC8" w:rsidRDefault="00156A78" w:rsidP="00156A78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How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vehicles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judged?</w:t>
      </w:r>
    </w:p>
    <w:p w14:paraId="0CDA0ACE" w14:textId="340377C4" w:rsidR="00A5791F" w:rsidRDefault="00A5791F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Vehicles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judged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100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point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scoring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system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covering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Areas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being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judged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e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xte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r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ior,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g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lass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urfaces,</w:t>
      </w:r>
      <w:r w:rsidR="00670B59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t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rim,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r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ubber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70B59">
        <w:rPr>
          <w:rFonts w:ascii="Arial" w:hAnsi="Arial" w:cs="Arial"/>
          <w:noProof/>
          <w:color w:val="000000" w:themeColor="text1"/>
          <w:sz w:val="20"/>
          <w:szCs w:val="20"/>
        </w:rPr>
        <w:t xml:space="preserve">and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b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umpers,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h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ubcaps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w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heels,</w:t>
      </w:r>
      <w:r w:rsidR="00670B59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i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nterior,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eats,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u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pholstery,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c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arpeting,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d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70B59">
        <w:rPr>
          <w:rFonts w:ascii="Arial" w:hAnsi="Arial" w:cs="Arial"/>
          <w:noProof/>
          <w:color w:val="000000" w:themeColor="text1"/>
          <w:sz w:val="20"/>
          <w:szCs w:val="20"/>
        </w:rPr>
        <w:t xml:space="preserve">and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torage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70B59">
        <w:rPr>
          <w:rFonts w:ascii="Arial" w:hAnsi="Arial" w:cs="Arial"/>
          <w:noProof/>
          <w:color w:val="000000" w:themeColor="text1"/>
          <w:sz w:val="20"/>
          <w:szCs w:val="20"/>
        </w:rPr>
        <w:t>c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ompartments,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d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ashboard,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i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nterior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gl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ass,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d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j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ams,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t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runk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(s)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and e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ngine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c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ompartment.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1F206E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ome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vehicles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’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engine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compartments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1F206E">
        <w:rPr>
          <w:rFonts w:ascii="Arial" w:hAnsi="Arial" w:cs="Arial"/>
          <w:noProof/>
          <w:color w:val="000000" w:themeColor="text1"/>
          <w:sz w:val="20"/>
          <w:szCs w:val="20"/>
        </w:rPr>
        <w:t>are not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1F206E">
        <w:rPr>
          <w:rFonts w:ascii="Arial" w:hAnsi="Arial" w:cs="Arial"/>
          <w:noProof/>
          <w:color w:val="000000" w:themeColor="text1"/>
          <w:sz w:val="20"/>
          <w:szCs w:val="20"/>
        </w:rPr>
        <w:t>readily accessible; t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his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taken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into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consideration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judges.</w:t>
      </w:r>
    </w:p>
    <w:p w14:paraId="23DD3B6F" w14:textId="13753228" w:rsidR="00E7199F" w:rsidRDefault="00E7199F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There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team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five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judges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judging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each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vehicle.</w:t>
      </w:r>
    </w:p>
    <w:p w14:paraId="793DC672" w14:textId="77777777" w:rsidR="00156A78" w:rsidRDefault="00156A78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51F2FB4C" w14:textId="13F64E27" w:rsidR="00156A78" w:rsidRPr="00E31332" w:rsidRDefault="00156A78" w:rsidP="00156A78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there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an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official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hotel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for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this</w:t>
      </w:r>
      <w:r w:rsidR="005A20F8"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b/>
          <w:noProof/>
          <w:color w:val="000000" w:themeColor="text1"/>
          <w:sz w:val="20"/>
          <w:szCs w:val="20"/>
        </w:rPr>
        <w:t>event?</w:t>
      </w:r>
    </w:p>
    <w:p w14:paraId="6676F954" w14:textId="635F0379" w:rsidR="00F237A7" w:rsidRPr="00E31332" w:rsidRDefault="00EF4AC8" w:rsidP="00F237A7">
      <w:pPr>
        <w:rPr>
          <w:rFonts w:ascii="Arial" w:eastAsia="Times New Roman" w:hAnsi="Arial" w:cs="Arial"/>
          <w:sz w:val="20"/>
          <w:szCs w:val="20"/>
        </w:rPr>
      </w:pP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There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no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offical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hotel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for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this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E31332">
        <w:rPr>
          <w:rFonts w:ascii="Arial" w:hAnsi="Arial" w:cs="Arial"/>
          <w:noProof/>
          <w:color w:val="000000" w:themeColor="text1"/>
          <w:sz w:val="20"/>
          <w:szCs w:val="20"/>
        </w:rPr>
        <w:t>event.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Our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recommended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hotel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Gaylord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Texan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Resort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Convention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hAnsi="Arial" w:cs="Arial"/>
          <w:noProof/>
          <w:color w:val="000000" w:themeColor="text1"/>
          <w:sz w:val="20"/>
          <w:szCs w:val="20"/>
        </w:rPr>
        <w:t>Center,</w:t>
      </w:r>
      <w:r w:rsidR="005A20F8" w:rsidRP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1501</w:t>
      </w:r>
      <w:r w:rsidR="005A20F8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Gaylord</w:t>
      </w:r>
      <w:r w:rsidR="005A20F8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Trail,</w:t>
      </w:r>
      <w:r w:rsidR="005A20F8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Grapevine,</w:t>
      </w:r>
      <w:r w:rsidR="005A20F8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TX</w:t>
      </w:r>
      <w:r w:rsidR="005A20F8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237A7" w:rsidRPr="00E3133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76051.</w:t>
      </w:r>
    </w:p>
    <w:p w14:paraId="0FA82011" w14:textId="77777777" w:rsidR="00EF4AC8" w:rsidRDefault="00EF4AC8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FE2F754" w14:textId="2BF8B9D0" w:rsidR="00156A78" w:rsidRPr="00EF4AC8" w:rsidRDefault="00156A78" w:rsidP="00156A78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Where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vehicles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parked?</w:t>
      </w:r>
    </w:p>
    <w:p w14:paraId="12174873" w14:textId="6C01303C" w:rsidR="00F237A7" w:rsidRDefault="00E7199F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1332">
        <w:rPr>
          <w:rFonts w:ascii="Arial" w:hAnsi="Arial" w:cs="Arial"/>
          <w:noProof/>
          <w:color w:val="000000" w:themeColor="text1"/>
          <w:sz w:val="20"/>
          <w:szCs w:val="20"/>
        </w:rPr>
        <w:t xml:space="preserve">displayed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grass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field.</w:t>
      </w:r>
      <w:r w:rsid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14:paraId="04A46217" w14:textId="77777777" w:rsidR="00C355BD" w:rsidRDefault="00C355BD" w:rsidP="00156A7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112E11F1" w14:textId="359646BB" w:rsidR="005B0436" w:rsidRPr="00EF4AC8" w:rsidRDefault="005B0436" w:rsidP="005B0436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How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do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I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register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2022?</w:t>
      </w:r>
    </w:p>
    <w:p w14:paraId="2F72FB1B" w14:textId="3963B0DD" w:rsidR="00E7199F" w:rsidRDefault="002A4FC6" w:rsidP="005B0436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On-line r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open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30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days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prior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event,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close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92978">
        <w:rPr>
          <w:rFonts w:ascii="Arial" w:hAnsi="Arial" w:cs="Arial"/>
          <w:noProof/>
          <w:color w:val="000000" w:themeColor="text1"/>
          <w:sz w:val="20"/>
          <w:szCs w:val="20"/>
        </w:rPr>
        <w:t>five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days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prior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event.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There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no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486FE4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site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entry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B251A9">
        <w:rPr>
          <w:rFonts w:ascii="Arial" w:hAnsi="Arial" w:cs="Arial"/>
          <w:noProof/>
          <w:color w:val="000000" w:themeColor="text1"/>
          <w:sz w:val="20"/>
          <w:szCs w:val="20"/>
        </w:rPr>
        <w:t xml:space="preserve"> available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69180942" w14:textId="77777777" w:rsidR="00A95D81" w:rsidRDefault="00A95D81" w:rsidP="005B0436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5A2809A2" w14:textId="6C6B6C13" w:rsidR="00A95D81" w:rsidRPr="00EF4AC8" w:rsidRDefault="00A95D81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Maverick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Region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2022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open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public</w:t>
      </w:r>
      <w:r w:rsidR="00E7199F" w:rsidRPr="00EF4AC8">
        <w:rPr>
          <w:rFonts w:ascii="Arial" w:hAnsi="Arial" w:cs="Arial"/>
          <w:b/>
          <w:noProof/>
          <w:color w:val="000000" w:themeColor="text1"/>
          <w:sz w:val="20"/>
          <w:szCs w:val="20"/>
        </w:rPr>
        <w:t>?</w:t>
      </w:r>
    </w:p>
    <w:p w14:paraId="4D0671D4" w14:textId="4AD84E67" w:rsidR="00E7199F" w:rsidRDefault="00F237A7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event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open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PCA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members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their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guests.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General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fee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$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20.00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per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person</w:t>
      </w:r>
      <w:r w:rsidR="00486FE4">
        <w:rPr>
          <w:rFonts w:ascii="Arial" w:hAnsi="Arial" w:cs="Arial"/>
          <w:noProof/>
          <w:color w:val="000000" w:themeColor="text1"/>
          <w:sz w:val="20"/>
          <w:szCs w:val="20"/>
        </w:rPr>
        <w:t xml:space="preserve"> for ages 12 and over</w:t>
      </w:r>
      <w:r w:rsidR="00E7199F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0B49B406" w14:textId="68899731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$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50.00.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includes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car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registrant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only.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passenger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must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register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pay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$20.00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fee.</w:t>
      </w:r>
    </w:p>
    <w:p w14:paraId="59D19189" w14:textId="618EC05D" w:rsidR="00F237A7" w:rsidRDefault="00F237A7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There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on-site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registration</w:t>
      </w:r>
      <w:r w:rsidR="00B251A9">
        <w:rPr>
          <w:rFonts w:ascii="Arial" w:hAnsi="Arial" w:cs="Arial"/>
          <w:noProof/>
          <w:color w:val="000000" w:themeColor="text1"/>
          <w:sz w:val="20"/>
          <w:szCs w:val="20"/>
        </w:rPr>
        <w:t xml:space="preserve"> available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258C1423" w14:textId="7777777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09ED40E9" w14:textId="1EDB7C32" w:rsidR="000D4C4B" w:rsidRPr="00787650" w:rsidRDefault="000D4C4B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w:t>When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does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field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open?</w:t>
      </w:r>
    </w:p>
    <w:p w14:paraId="6DDFD4FA" w14:textId="053E5119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Officially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opens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general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attendees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11:00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a.m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3EFA6CB6" w14:textId="31E1BCC5" w:rsidR="00787650" w:rsidRDefault="00787650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roll</w:t>
      </w:r>
      <w:r w:rsidR="00701E79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open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8:0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0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a.m.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show.</w:t>
      </w:r>
    </w:p>
    <w:p w14:paraId="28295F8E" w14:textId="7777777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56439178" w14:textId="1E21C177" w:rsidR="000D4C4B" w:rsidRPr="00787650" w:rsidRDefault="000D4C4B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Do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I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need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purchase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my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children?</w:t>
      </w:r>
    </w:p>
    <w:p w14:paraId="79307BFC" w14:textId="0F444C7C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General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admission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tickets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need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purchased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children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under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age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12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accompanied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paying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adult.</w:t>
      </w:r>
    </w:p>
    <w:p w14:paraId="5411791E" w14:textId="7777777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D60566E" w14:textId="69FA8F79" w:rsidR="000D4C4B" w:rsidRPr="00787650" w:rsidRDefault="000D4C4B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Can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my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ticket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refunded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transferred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others?</w:t>
      </w:r>
    </w:p>
    <w:p w14:paraId="33E08E55" w14:textId="28FEB30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All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sales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final.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Tickets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non-refundable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non-transferable.</w:t>
      </w:r>
    </w:p>
    <w:p w14:paraId="48C11A96" w14:textId="7777777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325BFD0" w14:textId="0BC8815C" w:rsidR="000D4C4B" w:rsidRPr="00787650" w:rsidRDefault="000D4C4B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parking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availab</w:t>
      </w:r>
      <w:r w:rsidR="00F237A7">
        <w:rPr>
          <w:rFonts w:ascii="Arial" w:hAnsi="Arial" w:cs="Arial"/>
          <w:b/>
          <w:noProof/>
          <w:color w:val="000000" w:themeColor="text1"/>
          <w:sz w:val="20"/>
          <w:szCs w:val="20"/>
        </w:rPr>
        <w:t>l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for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people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who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physically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challenged?</w:t>
      </w:r>
    </w:p>
    <w:p w14:paraId="4A3C67CD" w14:textId="064F00F3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Specific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parking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available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those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who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physically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challenged.</w:t>
      </w:r>
    </w:p>
    <w:p w14:paraId="0A670A21" w14:textId="77777777" w:rsidR="000D4C4B" w:rsidRDefault="000D4C4B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DFC419F" w14:textId="591AD049" w:rsidR="000D4C4B" w:rsidRPr="00787650" w:rsidRDefault="000D4C4B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May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I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bring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my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pet(s)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event?</w:t>
      </w:r>
    </w:p>
    <w:p w14:paraId="12468ABA" w14:textId="34EE591A" w:rsidR="001B5039" w:rsidRDefault="000D4C4B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Pets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allowed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Concours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venue.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ask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leave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pets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home.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Service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animals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specifically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trained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aid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person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with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disabilities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welcome.</w:t>
      </w:r>
      <w:r w:rsidR="00C355BD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14:paraId="36DD1CC1" w14:textId="77777777" w:rsidR="00C355BD" w:rsidRDefault="00C355BD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4DC4291C" w14:textId="21718923" w:rsidR="000D4C4B" w:rsidRPr="00787650" w:rsidRDefault="00A814FD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I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able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detail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my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field?</w:t>
      </w:r>
    </w:p>
    <w:p w14:paraId="7969E911" w14:textId="5A168147" w:rsidR="00A814FD" w:rsidRDefault="00A814FD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Cleaning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detailing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of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is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allowed.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ask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that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when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detailing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vehicle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701E79">
        <w:rPr>
          <w:rFonts w:ascii="Arial" w:hAnsi="Arial" w:cs="Arial"/>
          <w:noProof/>
          <w:color w:val="000000" w:themeColor="text1"/>
          <w:sz w:val="20"/>
          <w:szCs w:val="20"/>
        </w:rPr>
        <w:t>courteous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other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owners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around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you.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No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spray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bottle</w:t>
      </w:r>
      <w:r w:rsidR="00F237A7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aerosols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allowed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field.</w:t>
      </w:r>
    </w:p>
    <w:p w14:paraId="1866FE98" w14:textId="77777777" w:rsidR="00EB50C4" w:rsidRDefault="00EB50C4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241C15E" w14:textId="2D5FE940" w:rsidR="00EB50C4" w:rsidRPr="00787650" w:rsidRDefault="00EB50C4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non</w:t>
      </w:r>
      <w:r w:rsidR="00F237A7">
        <w:rPr>
          <w:rFonts w:ascii="Arial" w:hAnsi="Arial" w:cs="Arial"/>
          <w:b/>
          <w:noProof/>
          <w:color w:val="000000" w:themeColor="text1"/>
          <w:sz w:val="20"/>
          <w:szCs w:val="20"/>
        </w:rPr>
        <w:t>-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sponsor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advertising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allowed?</w:t>
      </w:r>
    </w:p>
    <w:p w14:paraId="6FA41D2B" w14:textId="216E15AC" w:rsidR="00EB50C4" w:rsidRDefault="00EB50C4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Only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sponsor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advertiser</w:t>
      </w:r>
      <w:r w:rsidR="007A53C9">
        <w:rPr>
          <w:rFonts w:ascii="Arial" w:hAnsi="Arial" w:cs="Arial"/>
          <w:noProof/>
          <w:color w:val="000000" w:themeColor="text1"/>
          <w:sz w:val="20"/>
          <w:szCs w:val="20"/>
        </w:rPr>
        <w:t>ing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allowed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field.</w:t>
      </w:r>
    </w:p>
    <w:p w14:paraId="05FFFBA7" w14:textId="77777777" w:rsidR="00EB50C4" w:rsidRDefault="00EB50C4" w:rsidP="00A95D8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865E10D" w14:textId="1A064FF7" w:rsidR="00EB50C4" w:rsidRPr="00787650" w:rsidRDefault="00EB50C4" w:rsidP="00A95D81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Will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displays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or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props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be</w:t>
      </w:r>
      <w:r w:rsidR="005A20F8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787650">
        <w:rPr>
          <w:rFonts w:ascii="Arial" w:hAnsi="Arial" w:cs="Arial"/>
          <w:b/>
          <w:noProof/>
          <w:color w:val="000000" w:themeColor="text1"/>
          <w:sz w:val="20"/>
          <w:szCs w:val="20"/>
        </w:rPr>
        <w:t>allowed?</w:t>
      </w:r>
    </w:p>
    <w:p w14:paraId="4227F802" w14:textId="1361670E" w:rsidR="008E5D8B" w:rsidRPr="00541292" w:rsidRDefault="00EB50C4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Large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displays,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signage,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etc.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are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discouraged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on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the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show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field.</w:t>
      </w:r>
      <w:r w:rsidR="005A20F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sectPr w:rsidR="008E5D8B" w:rsidRPr="00541292" w:rsidSect="001B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41FF"/>
    <w:multiLevelType w:val="hybridMultilevel"/>
    <w:tmpl w:val="0B8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B"/>
    <w:rsid w:val="0000063D"/>
    <w:rsid w:val="00001436"/>
    <w:rsid w:val="000B251E"/>
    <w:rsid w:val="000D4C4B"/>
    <w:rsid w:val="001402AB"/>
    <w:rsid w:val="00156A78"/>
    <w:rsid w:val="001B5039"/>
    <w:rsid w:val="001F1D8D"/>
    <w:rsid w:val="001F206E"/>
    <w:rsid w:val="002743A3"/>
    <w:rsid w:val="00292978"/>
    <w:rsid w:val="002A4FC6"/>
    <w:rsid w:val="00392EA3"/>
    <w:rsid w:val="003B1FE3"/>
    <w:rsid w:val="00486FE4"/>
    <w:rsid w:val="004C766F"/>
    <w:rsid w:val="004F6604"/>
    <w:rsid w:val="00541292"/>
    <w:rsid w:val="005A20F8"/>
    <w:rsid w:val="005B0436"/>
    <w:rsid w:val="005C3693"/>
    <w:rsid w:val="00611B96"/>
    <w:rsid w:val="00670B59"/>
    <w:rsid w:val="006C1250"/>
    <w:rsid w:val="006E66EB"/>
    <w:rsid w:val="00701E79"/>
    <w:rsid w:val="00787650"/>
    <w:rsid w:val="007A53C9"/>
    <w:rsid w:val="00857EA0"/>
    <w:rsid w:val="00893913"/>
    <w:rsid w:val="008B25D4"/>
    <w:rsid w:val="008E5D8B"/>
    <w:rsid w:val="009A560C"/>
    <w:rsid w:val="00A227B9"/>
    <w:rsid w:val="00A5791F"/>
    <w:rsid w:val="00A814FD"/>
    <w:rsid w:val="00A95D81"/>
    <w:rsid w:val="00B251A9"/>
    <w:rsid w:val="00B25467"/>
    <w:rsid w:val="00B4086B"/>
    <w:rsid w:val="00C355BD"/>
    <w:rsid w:val="00C87F21"/>
    <w:rsid w:val="00CC3EE7"/>
    <w:rsid w:val="00D062F5"/>
    <w:rsid w:val="00D6443D"/>
    <w:rsid w:val="00E3045F"/>
    <w:rsid w:val="00E31332"/>
    <w:rsid w:val="00E7199F"/>
    <w:rsid w:val="00EB50C4"/>
    <w:rsid w:val="00EF4AC8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0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Scott Kellogg</dc:creator>
  <cp:lastModifiedBy>B. Scott Kellogg</cp:lastModifiedBy>
  <cp:revision>19</cp:revision>
  <dcterms:created xsi:type="dcterms:W3CDTF">2022-01-14T21:08:00Z</dcterms:created>
  <dcterms:modified xsi:type="dcterms:W3CDTF">2022-01-19T15:58:00Z</dcterms:modified>
</cp:coreProperties>
</file>